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4" w:lineRule="auto"/>
        <w:rPr>
          <w:rFonts w:hint="eastAsia" w:ascii="Times New Roman" w:hAnsi="Times New Roman" w:eastAsia="宋体"/>
          <w:sz w:val="21"/>
          <w:lang w:eastAsia="zh-CN"/>
        </w:rPr>
      </w:pPr>
      <w:bookmarkStart w:id="0" w:name="_GoBack"/>
      <w:bookmarkEnd w:id="0"/>
    </w:p>
    <w:p>
      <w:pPr>
        <w:spacing w:line="344" w:lineRule="auto"/>
        <w:rPr>
          <w:rFonts w:ascii="Times New Roman" w:hAnsi="Times New Roman"/>
          <w:sz w:val="21"/>
        </w:rPr>
      </w:pPr>
      <w:r>
        <w:rPr>
          <w:rFonts w:ascii="Times New Roman" w:hAnsi="Times New Roman"/>
        </w:rPr>
        <w:pict>
          <v:shape id="_x0000_s1026" o:spid="_x0000_s1026" o:spt="202" type="#_x0000_t202" style="position:absolute;left:0pt;margin-left:75.2pt;margin-top:103.1pt;height:54.65pt;width:331.75pt;mso-position-horizontal-relative:page;mso-position-vertical-relative:page;z-index:2516582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8" w:line="221" w:lineRule="auto"/>
                    <w:ind w:firstLine="20"/>
                    <w:rPr>
                      <w:rFonts w:ascii="宋体" w:hAnsi="宋体" w:eastAsia="宋体" w:cs="宋体"/>
                      <w:sz w:val="84"/>
                      <w:szCs w:val="84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宜</w:t>
                  </w:r>
                  <w:r>
                    <w:rPr>
                      <w:rFonts w:ascii="宋体" w:hAnsi="宋体" w:eastAsia="宋体" w:cs="宋体"/>
                      <w:color w:val="FF0000"/>
                      <w:spacing w:val="13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FF0000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良</w:t>
                  </w:r>
                  <w:r>
                    <w:rPr>
                      <w:rFonts w:ascii="宋体" w:hAnsi="宋体" w:eastAsia="宋体" w:cs="宋体"/>
                      <w:color w:val="FF0000"/>
                      <w:spacing w:val="-129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FF0000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县</w:t>
                  </w:r>
                  <w:r>
                    <w:rPr>
                      <w:rFonts w:ascii="宋体" w:hAnsi="宋体" w:eastAsia="宋体" w:cs="宋体"/>
                      <w:color w:val="FF0000"/>
                      <w:spacing w:val="-128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FF0000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财</w:t>
                  </w:r>
                  <w:r>
                    <w:rPr>
                      <w:rFonts w:ascii="宋体" w:hAnsi="宋体" w:eastAsia="宋体" w:cs="宋体"/>
                      <w:color w:val="FF0000"/>
                      <w:spacing w:val="-136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FF0000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政</w:t>
                  </w:r>
                  <w:r>
                    <w:rPr>
                      <w:rFonts w:ascii="宋体" w:hAnsi="宋体" w:eastAsia="宋体" w:cs="宋体"/>
                      <w:color w:val="FF0000"/>
                      <w:spacing w:val="-122"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FF0000"/>
                      <w:spacing w:val="-64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局</w:t>
                  </w:r>
                </w:p>
              </w:txbxContent>
            </v:textbox>
          </v:shape>
        </w:pict>
      </w:r>
    </w:p>
    <w:p>
      <w:pPr>
        <w:spacing w:before="474" w:line="222" w:lineRule="auto"/>
        <w:ind w:firstLine="262"/>
        <w:rPr>
          <w:rFonts w:ascii="Times New Roman" w:hAnsi="Times New Roman" w:eastAsia="仿宋" w:cs="仿宋"/>
          <w:sz w:val="112"/>
          <w:szCs w:val="112"/>
        </w:rPr>
      </w:pPr>
      <w:r>
        <w:rPr>
          <w:rFonts w:ascii="Times New Roman" w:hAnsi="Times New Roman"/>
        </w:rPr>
        <w:pict>
          <v:shape id="_x0000_s1027" o:spid="_x0000_s1027" o:spt="202" type="#_x0000_t202" style="position:absolute;left:0pt;margin-left:76.95pt;margin-top:168.3pt;height:57.1pt;width:369.3pt;mso-position-horizontal-relative:page;mso-position-vertical-relative:page;z-index:251659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8" w:line="219" w:lineRule="auto"/>
                    <w:ind w:firstLine="20"/>
                    <w:rPr>
                      <w:rFonts w:ascii="宋体" w:hAnsi="宋体" w:eastAsia="宋体" w:cs="宋体"/>
                      <w:color w:val="FF0000"/>
                      <w:sz w:val="80"/>
                      <w:szCs w:val="80"/>
                    </w:rPr>
                  </w:pPr>
                  <w:r>
                    <w:rPr>
                      <w:rFonts w:ascii="宋体" w:hAnsi="宋体" w:eastAsia="宋体" w:cs="宋体"/>
                      <w:color w:val="FF0000"/>
                      <w:spacing w:val="-69"/>
                      <w:sz w:val="80"/>
                      <w:szCs w:val="80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宜良县</w:t>
                  </w:r>
                  <w:r>
                    <w:rPr>
                      <w:rFonts w:hint="eastAsia" w:ascii="宋体" w:hAnsi="宋体" w:eastAsia="宋体" w:cs="宋体"/>
                      <w:color w:val="FF0000"/>
                      <w:spacing w:val="-69"/>
                      <w:sz w:val="80"/>
                      <w:szCs w:val="80"/>
                      <w:lang w:eastAsia="zh-CN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农业农村局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宋体"/>
          <w:color w:val="E51686"/>
          <w:spacing w:val="-162"/>
          <w:position w:val="8"/>
          <w:sz w:val="88"/>
          <w:szCs w:val="88"/>
        </w:rPr>
        <w:t xml:space="preserve"> </w:t>
      </w:r>
      <w:r>
        <w:rPr>
          <w:rFonts w:hint="eastAsia" w:ascii="Times New Roman" w:hAnsi="Times New Roman" w:eastAsia="宋体" w:cs="宋体"/>
          <w:color w:val="E51686"/>
          <w:spacing w:val="-162"/>
          <w:position w:val="8"/>
          <w:sz w:val="88"/>
          <w:szCs w:val="88"/>
          <w:lang w:val="en-US" w:eastAsia="zh-CN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仿宋" w:cs="仿宋"/>
          <w:color w:val="E5163C"/>
          <w:spacing w:val="-84"/>
          <w:w w:val="96"/>
          <w:position w:val="-8"/>
          <w:sz w:val="112"/>
          <w:szCs w:val="112"/>
          <w14:textOutline w14:w="26517" w14:cap="flat" w14:cmpd="sng">
            <w14:solidFill>
              <w14:srgbClr w14:val="E5163C"/>
            </w14:solidFill>
            <w14:prstDash w14:val="solid"/>
            <w14:miter w14:val="0"/>
          </w14:textOutline>
        </w:rPr>
        <w:t>文件</w:t>
      </w:r>
    </w:p>
    <w:p>
      <w:pPr>
        <w:spacing w:line="291" w:lineRule="auto"/>
        <w:rPr>
          <w:rFonts w:ascii="Times New Roman" w:hAnsi="Times New Roman"/>
          <w:sz w:val="21"/>
        </w:rPr>
      </w:pPr>
    </w:p>
    <w:p>
      <w:pPr>
        <w:spacing w:line="291" w:lineRule="auto"/>
        <w:rPr>
          <w:rFonts w:ascii="Times New Roman" w:hAnsi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baseline"/>
        <w:outlineLvl w:val="9"/>
        <w:rPr>
          <w:rFonts w:ascii="Times New Roman" w:hAnsi="Times New Roman" w:eastAsia="仿宋" w:cs="仿宋"/>
          <w:sz w:val="34"/>
          <w:szCs w:val="34"/>
        </w:rPr>
      </w:pPr>
      <w:r>
        <w:rPr>
          <w:rFonts w:ascii="Times New Roman" w:hAnsi="Times New Roman" w:eastAsia="仿宋" w:cs="仿宋"/>
          <w:spacing w:val="0"/>
          <w:w w:val="100"/>
          <w:sz w:val="32"/>
          <w:szCs w:val="32"/>
        </w:rPr>
        <w:t>宜财联发</w:t>
      </w:r>
      <w:r>
        <w:rPr>
          <w:rFonts w:hint="eastAsia" w:ascii="黑体" w:hAnsi="黑体" w:eastAsia="黑体" w:cs="黑体"/>
          <w:spacing w:val="-15"/>
          <w:w w:val="93"/>
          <w:sz w:val="32"/>
          <w:szCs w:val="32"/>
        </w:rPr>
        <w:t>〔</w:t>
      </w:r>
      <w:r>
        <w:rPr>
          <w:rFonts w:ascii="Times New Roman" w:hAnsi="Times New Roman" w:eastAsia="仿宋" w:cs="仿宋"/>
          <w:spacing w:val="0"/>
          <w:w w:val="100"/>
          <w:sz w:val="32"/>
          <w:szCs w:val="32"/>
        </w:rPr>
        <w:t>202</w:t>
      </w:r>
      <w:r>
        <w:rPr>
          <w:rFonts w:hint="eastAsia" w:ascii="Times New Roman" w:hAnsi="Times New Roman" w:eastAsia="仿宋" w:cs="仿宋"/>
          <w:spacing w:val="0"/>
          <w:w w:val="10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pacing w:val="-15"/>
          <w:w w:val="93"/>
          <w:sz w:val="32"/>
          <w:szCs w:val="32"/>
        </w:rPr>
        <w:t>〕</w:t>
      </w:r>
      <w:r>
        <w:rPr>
          <w:rFonts w:hint="eastAsia" w:ascii="Times New Roman" w:hAnsi="Times New Roman" w:eastAsia="仿宋" w:cs="仿宋"/>
          <w:spacing w:val="41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" w:cs="仿宋"/>
          <w:spacing w:val="-15"/>
          <w:w w:val="93"/>
          <w:sz w:val="32"/>
          <w:szCs w:val="32"/>
        </w:rPr>
        <w:t>号</w:t>
      </w:r>
    </w:p>
    <w:p>
      <w:pPr>
        <w:spacing w:before="187" w:line="8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994400" cy="36195"/>
            <wp:effectExtent l="0" t="0" r="10160" b="9525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94460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480" w:lineRule="exact"/>
        <w:ind w:left="0" w:leftChars="0" w:right="0" w:rightChars="0" w:firstLine="386"/>
        <w:rPr>
          <w:rFonts w:ascii="Times New Roman" w:hAnsi="Times New Roman" w:eastAsia="宋体" w:cs="宋体"/>
          <w:spacing w:val="5"/>
          <w:sz w:val="46"/>
          <w:szCs w:val="46"/>
          <w14:textOutline w14:w="8356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宜良县财政局  宜良县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  <w:lang w:eastAsia="zh-CN"/>
        </w:rPr>
        <w:t>农业农村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关于下达2022年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  <w:lang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财政衔接推进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乡村振兴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  <w:lang w:val="en-US" w:eastAsia="zh-CN"/>
        </w:rPr>
        <w:t>美丽村庄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补助资金的通知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北古城镇、九乡乡：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spacing w:line="560" w:lineRule="exact"/>
        <w:ind w:left="0" w:leftChars="0" w:right="0" w:rightChars="0" w:firstLine="708" w:firstLineChars="200"/>
        <w:jc w:val="both"/>
        <w:textAlignment w:val="auto"/>
        <w:outlineLvl w:val="9"/>
        <w:rPr>
          <w:rFonts w:ascii="仿宋" w:hAnsi="仿宋" w:eastAsia="仿宋" w:cs="仿宋"/>
          <w:spacing w:val="11"/>
          <w:sz w:val="32"/>
          <w:szCs w:val="32"/>
        </w:rPr>
      </w:pPr>
      <w:r>
        <w:rPr>
          <w:rFonts w:ascii="仿宋" w:hAnsi="仿宋" w:eastAsia="仿宋" w:cs="仿宋"/>
          <w:spacing w:val="17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《</w:t>
      </w:r>
      <w:r>
        <w:rPr>
          <w:rFonts w:ascii="仿宋" w:hAnsi="仿宋" w:eastAsia="仿宋" w:cs="仿宋"/>
          <w:spacing w:val="9"/>
          <w:sz w:val="32"/>
          <w:szCs w:val="32"/>
        </w:rPr>
        <w:t>昆明市财政局关于下达2022年省级财政衔接推进乡村振兴补助资金(巩固拓展脱贫攻坚成果和乡村振兴任务)的通知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》（</w:t>
      </w:r>
      <w:r>
        <w:rPr>
          <w:rFonts w:ascii="仿宋" w:hAnsi="仿宋" w:eastAsia="仿宋" w:cs="仿宋"/>
          <w:spacing w:val="17"/>
          <w:w w:val="104"/>
          <w:sz w:val="32"/>
          <w:szCs w:val="32"/>
        </w:rPr>
        <w:t>昆财农(2022)51号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），</w:t>
      </w:r>
      <w:r>
        <w:rPr>
          <w:rFonts w:ascii="仿宋" w:hAnsi="仿宋" w:eastAsia="仿宋" w:cs="仿宋"/>
          <w:spacing w:val="9"/>
          <w:sz w:val="32"/>
          <w:szCs w:val="32"/>
        </w:rPr>
        <w:t>现将2022年省级财政衔接推</w:t>
      </w:r>
      <w:r>
        <w:rPr>
          <w:rFonts w:ascii="仿宋" w:hAnsi="仿宋" w:eastAsia="仿宋" w:cs="仿宋"/>
          <w:spacing w:val="-7"/>
          <w:sz w:val="32"/>
          <w:szCs w:val="32"/>
        </w:rPr>
        <w:t>进乡村振兴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美丽村庄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）</w:t>
      </w:r>
      <w:r>
        <w:rPr>
          <w:rFonts w:ascii="仿宋" w:hAnsi="仿宋" w:eastAsia="仿宋" w:cs="仿宋"/>
          <w:spacing w:val="-7"/>
          <w:sz w:val="32"/>
          <w:szCs w:val="32"/>
        </w:rPr>
        <w:t>补助资金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160万元</w:t>
      </w:r>
      <w:r>
        <w:rPr>
          <w:rFonts w:ascii="仿宋" w:hAnsi="仿宋" w:eastAsia="仿宋" w:cs="仿宋"/>
          <w:spacing w:val="-7"/>
          <w:sz w:val="32"/>
          <w:szCs w:val="32"/>
        </w:rPr>
        <w:t>下</w:t>
      </w:r>
      <w:r>
        <w:rPr>
          <w:rFonts w:ascii="仿宋" w:hAnsi="仿宋" w:eastAsia="仿宋" w:cs="仿宋"/>
          <w:spacing w:val="16"/>
          <w:w w:val="101"/>
          <w:sz w:val="32"/>
          <w:szCs w:val="32"/>
        </w:rPr>
        <w:t>达你们</w:t>
      </w:r>
      <w:r>
        <w:rPr>
          <w:rFonts w:hint="eastAsia" w:ascii="仿宋" w:hAnsi="仿宋" w:eastAsia="仿宋" w:cs="仿宋"/>
          <w:spacing w:val="16"/>
          <w:w w:val="10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6"/>
          <w:w w:val="101"/>
          <w:sz w:val="32"/>
          <w:szCs w:val="32"/>
        </w:rPr>
        <w:t>功能科目列2022年</w:t>
      </w:r>
      <w:r>
        <w:rPr>
          <w:rFonts w:hint="eastAsia" w:ascii="仿宋" w:hAnsi="仿宋" w:eastAsia="仿宋" w:cs="仿宋"/>
          <w:spacing w:val="16"/>
          <w:w w:val="101"/>
          <w:sz w:val="32"/>
          <w:szCs w:val="32"/>
          <w:lang w:eastAsia="zh-CN"/>
        </w:rPr>
        <w:t>“</w:t>
      </w:r>
      <w:r>
        <w:rPr>
          <w:rFonts w:ascii="仿宋" w:hAnsi="仿宋" w:eastAsia="仿宋" w:cs="仿宋"/>
          <w:spacing w:val="16"/>
          <w:w w:val="101"/>
          <w:sz w:val="32"/>
          <w:szCs w:val="32"/>
        </w:rPr>
        <w:t>21305-巩固脱贫衔接乡村振兴</w:t>
      </w:r>
      <w:r>
        <w:rPr>
          <w:rFonts w:hint="eastAsia" w:ascii="仿宋" w:hAnsi="仿宋" w:eastAsia="仿宋" w:cs="仿宋"/>
          <w:spacing w:val="16"/>
          <w:w w:val="101"/>
          <w:sz w:val="32"/>
          <w:szCs w:val="32"/>
          <w:lang w:eastAsia="zh-CN"/>
        </w:rPr>
        <w:t>”</w:t>
      </w:r>
      <w:r>
        <w:rPr>
          <w:rFonts w:ascii="仿宋" w:hAnsi="仿宋" w:eastAsia="仿宋" w:cs="仿宋"/>
          <w:spacing w:val="16"/>
          <w:w w:val="102"/>
          <w:sz w:val="32"/>
          <w:szCs w:val="32"/>
        </w:rPr>
        <w:t>相关科目(</w:t>
      </w:r>
      <w:r>
        <w:rPr>
          <w:rFonts w:hint="eastAsia" w:ascii="仿宋" w:hAnsi="仿宋" w:eastAsia="仿宋" w:cs="仿宋"/>
          <w:spacing w:val="16"/>
          <w:w w:val="102"/>
          <w:sz w:val="32"/>
          <w:szCs w:val="32"/>
          <w:lang w:eastAsia="zh-CN"/>
        </w:rPr>
        <w:t>“</w:t>
      </w:r>
      <w:r>
        <w:rPr>
          <w:rFonts w:ascii="仿宋" w:hAnsi="仿宋" w:eastAsia="仿宋" w:cs="仿宋"/>
          <w:spacing w:val="16"/>
          <w:w w:val="102"/>
          <w:sz w:val="32"/>
          <w:szCs w:val="32"/>
        </w:rPr>
        <w:t>项级</w:t>
      </w:r>
      <w:r>
        <w:rPr>
          <w:rFonts w:hint="eastAsia" w:ascii="仿宋" w:hAnsi="仿宋" w:eastAsia="仿宋" w:cs="仿宋"/>
          <w:spacing w:val="16"/>
          <w:w w:val="102"/>
          <w:sz w:val="32"/>
          <w:szCs w:val="32"/>
          <w:lang w:eastAsia="zh-CN"/>
        </w:rPr>
        <w:t>”</w:t>
      </w:r>
      <w:r>
        <w:rPr>
          <w:rFonts w:ascii="仿宋" w:hAnsi="仿宋" w:eastAsia="仿宋" w:cs="仿宋"/>
          <w:spacing w:val="16"/>
          <w:w w:val="102"/>
          <w:sz w:val="32"/>
          <w:szCs w:val="32"/>
        </w:rPr>
        <w:t>科目</w:t>
      </w:r>
      <w:r>
        <w:rPr>
          <w:rFonts w:hint="eastAsia" w:ascii="仿宋" w:hAnsi="仿宋" w:eastAsia="仿宋" w:cs="仿宋"/>
          <w:spacing w:val="16"/>
          <w:w w:val="102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color w:val="000000" w:themeColor="text1"/>
          <w:spacing w:val="16"/>
          <w:w w:val="10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美丽村庄奖补资金</w:t>
      </w:r>
      <w:r>
        <w:rPr>
          <w:rFonts w:ascii="仿宋" w:hAnsi="仿宋" w:eastAsia="仿宋" w:cs="仿宋"/>
          <w:spacing w:val="16"/>
          <w:w w:val="102"/>
          <w:sz w:val="32"/>
          <w:szCs w:val="32"/>
        </w:rPr>
        <w:t>),经济科目列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5"/>
          <w:sz w:val="32"/>
          <w:szCs w:val="32"/>
          <w:lang w:eastAsia="zh-CN"/>
        </w:rPr>
        <w:t>“</w:t>
      </w:r>
      <w:r>
        <w:rPr>
          <w:rFonts w:ascii="仿宋" w:hAnsi="仿宋" w:eastAsia="仿宋" w:cs="仿宋"/>
          <w:spacing w:val="11"/>
          <w:sz w:val="32"/>
          <w:szCs w:val="32"/>
        </w:rPr>
        <w:t>51301-上下级政府间转移性支出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”。</w:t>
      </w:r>
      <w:r>
        <w:rPr>
          <w:rFonts w:ascii="仿宋" w:hAnsi="仿宋" w:eastAsia="仿宋" w:cs="仿宋"/>
          <w:spacing w:val="11"/>
          <w:sz w:val="32"/>
          <w:szCs w:val="32"/>
        </w:rPr>
        <w:t>现将有关事项通知如下: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N/>
        <w:bidi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资金测算安排情况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left="0" w:leftChars="0" w:right="0" w:rightChars="0" w:firstLine="664" w:firstLineChars="200"/>
        <w:jc w:val="both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此次下达的资金按照2021年度省级</w:t>
      </w:r>
      <w:r>
        <w:rPr>
          <w:rFonts w:ascii="仿宋" w:hAnsi="仿宋" w:eastAsia="仿宋" w:cs="仿宋"/>
          <w:sz w:val="32"/>
          <w:szCs w:val="32"/>
        </w:rPr>
        <w:t>美丽村庄奖补因素测算安排。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项目实施管理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（一）编制实施方案。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项目所在地乡镇（街道）人民政府按照一个项目一个方案要求，编制项目实施方案（红头文件）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于收到资金文件5个工作日内报送县农业农村局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项目的实施</w:t>
      </w:r>
      <w:r>
        <w:rPr>
          <w:rFonts w:hint="eastAsia" w:ascii="仿宋_GB2312" w:hAnsi="仿宋_GB2312" w:eastAsia="仿宋_GB2312" w:cs="仿宋_GB2312"/>
          <w:color w:val="000000" w:themeColor="text1"/>
          <w:spacing w:val="4"/>
          <w:sz w:val="32"/>
          <w:szCs w:val="32"/>
          <w14:textFill>
            <w14:solidFill>
              <w14:schemeClr w14:val="tx1"/>
            </w14:solidFill>
          </w14:textFill>
        </w:rPr>
        <w:t>各村</w:t>
      </w:r>
      <w:r>
        <w:rPr>
          <w:rFonts w:hint="eastAsia" w:ascii="仿宋_GB2312" w:hAnsi="仿宋_GB2312" w:eastAsia="仿宋_GB2312" w:cs="仿宋_GB2312"/>
          <w:color w:val="000000" w:themeColor="text1"/>
          <w:spacing w:val="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要</w:t>
      </w:r>
      <w:r>
        <w:rPr>
          <w:rFonts w:hint="eastAsia" w:ascii="仿宋_GB2312" w:hAnsi="仿宋_GB2312" w:eastAsia="仿宋_GB2312" w:cs="仿宋_GB2312"/>
          <w:color w:val="000000" w:themeColor="text1"/>
          <w:spacing w:val="4"/>
          <w:sz w:val="32"/>
          <w:szCs w:val="32"/>
          <w14:textFill>
            <w14:solidFill>
              <w14:schemeClr w14:val="tx1"/>
            </w14:solidFill>
          </w14:textFill>
        </w:rPr>
        <w:t>结合实际补齐在基础设施、人居环境、公共服务等方面的短板,</w:t>
      </w:r>
      <w:r>
        <w:rPr>
          <w:rFonts w:hint="eastAsia" w:ascii="仿宋_GB2312" w:hAnsi="仿宋_GB2312" w:eastAsia="仿宋_GB2312" w:cs="仿宋_GB2312"/>
          <w:color w:val="000000" w:themeColor="text1"/>
          <w:spacing w:val="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主要包括农村公共厕所、生活垃圾和污水治理、垃圾清运等小型公益性生活设施建设。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（二）组织实施。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严格按照项目实施方案组织实施，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随意变更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项目建设内容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严禁挪用、滞留资金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属于政府采购范围的项目，按照政府采购执行（包括公开招投标、询价、竞争性谈判等）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村级微小型项目可按照村民民主议事方式直接委托村组自建自营。</w:t>
      </w:r>
      <w:r>
        <w:rPr>
          <w:rFonts w:hint="eastAsia" w:ascii="仿宋_GB2312" w:hAnsi="仿宋_GB2312" w:eastAsia="仿宋_GB2312" w:cs="仿宋_GB2312"/>
          <w:sz w:val="32"/>
          <w:szCs w:val="32"/>
        </w:rPr>
        <w:t>要严格按照政府采购程序或公开招投标程序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（三）落实公示、公告制度。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严格执行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《昆明市人民政府扶贫开发办公室昆明市财政局关于印发〈昆明市扶贫资金项目公示公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u w:val="none" w:color="auto"/>
        </w:rPr>
        <w:t>告制度实施办法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〉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u w:val="none" w:color="auto"/>
        </w:rPr>
        <w:t>的通知》（昆开办发〔2019〕4号）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件精神，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落实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项目资金公示公告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制度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项目验收。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项目建成后由乡镇（街道）组织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验收结果报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农业农村局，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农业农村局根据验收情况组织抽验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验收通过后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整理相关资料形成台账。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、资金拨付要求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按财政资金管理要求，202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年的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衔接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资金从财政一体化平台下达到乡镇（街道），由乡镇（街道）审批，通过国库集中支付将项目资金直接支付到施工方。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  <w:t>资金支付比例：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项目完成招投标，签订《项目施工合同》并开工建设一周后，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50万元及以下项目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按扶持资金的40%预拨工程款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，50万元以上项目按照扶持资金的30%预拨工程款。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项目竣工通过乡镇（街道）验收后，工程款拨付至80%，余下20%待县级验收后核拨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（含3%质保金）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  <w:t>国库直接支付所需附件：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预拨40%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（30%）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工程款时，需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项目资金报账拨付审批表、增值税发票、项目公示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公告照片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、中标通知书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复印件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、施工合同复印件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工程款拨付至80%时，需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增值税发票、项目完工公告、完工图片、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乡镇（街道）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验收卡复印件。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拨付余款20%时，需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增值税发票、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竣工结算审计报告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县级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验收卡复印件。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、项目资金管理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项目资金使用实行乡镇（街道）报账制度。要严格按照《云南省财政衔接推进乡村振兴补助资金管理办法》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云财农〔2021〕140号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实行设施建设项目质量保证金制度（预留比例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）。项目完工后按基础设施项目建设和验收决算规定开展项目竣工验收，积极探索委托有资质的第三方参与项目验收、审计决算的工作模式，做到竣工一个、决算一个、验收一个。项目验收时，除必要的项目资料外，必须有第三方审计单位出具的项目竣工决算审核报告，竣工决算审核报告作为乡镇（街道）拨付项目补助尾款的重要凭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、资产管理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（一）资产所有权。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依法依规对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项目建设形成的资产进行评估认定，做到协商一致、明晰权利义务。对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资金投入项目所形成的可持续利用的经营性资产，所有权归项目受益村集体所有，项目竣工验收后及时移交项目资产，确权后由村集体纳入管理。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（二）资产监管。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项目一经审核批准实施后，乡镇（街道）和村（社区）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健全事前、事中和事后全过程监管机制，做到项目实施和资金安排严格按照乡镇（街道）受益分配管理制度执行，明确管护主体，落实管护责任，以村委会为单位每年度进行一次资产公示，接受群众监督，确保资产保值增值，发挥长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、资金绩效评价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项目验收后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严格执行资金绩效评价管理规定，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做好项目绩效评价并填报项目绩效评价表。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资金的管理使用要严格执行相关规定，对资金投入情况、资金拨付、资金监管、资金使用成效等方面按规定进行全面评价，确保项目绩效评价全覆盖，达到预期效益。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sz w:val="32"/>
          <w:szCs w:val="32"/>
        </w:rPr>
        <w:t>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月30日前竣工验收，并及时收集相关台帐资料，装订成册报送至县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农业农村局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/>
        <w:pageBreakBefore w:val="0"/>
        <w:widowControl/>
        <w:kinsoku/>
        <w:wordWrap/>
        <w:overflowPunct/>
        <w:topLinePunct w:val="0"/>
        <w:autoSpaceDN/>
        <w:bidi w:val="0"/>
        <w:adjustRightInd w:val="0"/>
        <w:spacing w:line="560" w:lineRule="exact"/>
        <w:ind w:left="1918" w:leftChars="304" w:right="0" w:rightChars="0" w:hanging="1280" w:hanging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pacing w:val="15"/>
          <w:w w:val="103"/>
          <w:sz w:val="32"/>
          <w:szCs w:val="32"/>
        </w:rPr>
        <w:t>2022年省级财政衔接推进乡村振兴</w:t>
      </w:r>
      <w:r>
        <w:rPr>
          <w:rFonts w:hint="eastAsia" w:ascii="仿宋_GB2312" w:hAnsi="仿宋_GB2312" w:eastAsia="仿宋_GB2312" w:cs="仿宋_GB2312"/>
          <w:spacing w:val="15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美丽村庄</w:t>
      </w:r>
      <w:r>
        <w:rPr>
          <w:rFonts w:hint="eastAsia" w:ascii="仿宋_GB2312" w:hAnsi="仿宋_GB2312" w:eastAsia="仿宋_GB2312" w:cs="仿宋_GB2312"/>
          <w:spacing w:val="15"/>
          <w:w w:val="10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15"/>
          <w:w w:val="103"/>
          <w:sz w:val="32"/>
          <w:szCs w:val="32"/>
        </w:rPr>
        <w:t>补助资金</w:t>
      </w:r>
      <w:r>
        <w:rPr>
          <w:rFonts w:hint="eastAsia" w:ascii="仿宋_GB2312" w:hAnsi="仿宋_GB2312" w:eastAsia="仿宋_GB2312" w:cs="仿宋_GB2312"/>
          <w:spacing w:val="15"/>
          <w:w w:val="105"/>
          <w:sz w:val="32"/>
          <w:szCs w:val="32"/>
        </w:rPr>
        <w:t>分配表</w:t>
      </w:r>
    </w:p>
    <w:p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1916" w:leftChars="760" w:right="0" w:rightChars="0" w:hanging="320" w:hanging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宜良县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财政衔接乡村振兴（美丽村庄）补助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项目资金报账拨付审批表</w:t>
      </w:r>
    </w:p>
    <w:p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3.美丽村庄奖补项目材料清单</w:t>
      </w:r>
    </w:p>
    <w:p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1916" w:leftChars="760" w:right="0" w:rightChars="0" w:hanging="320" w:hanging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4.2022年省级财政衔接推进乡村振兴（美丽村庄）补助资金绩效目标表</w:t>
      </w:r>
    </w:p>
    <w:p>
      <w:pPr>
        <w:keepNext w:val="0"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1916" w:leftChars="760" w:right="0" w:rightChars="0" w:hanging="320" w:hangingChars="1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5.《云南省财政衔接推进乡村振兴补助资金管理办法》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1600" w:firstLineChars="5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宜良县财政局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宜良县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农业农村局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480" w:lineRule="exact"/>
        <w:ind w:left="0" w:leftChars="0" w:right="0" w:rightChars="0"/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480" w:lineRule="exact"/>
        <w:ind w:left="0" w:leftChars="0" w:right="0" w:rightChars="0" w:firstLine="2560" w:firstLineChars="800"/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2022年 </w:t>
      </w:r>
      <w:r>
        <w:rPr>
          <w:rFonts w:hint="eastAsia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 月</w:t>
      </w:r>
      <w:r>
        <w:rPr>
          <w:rFonts w:hint="eastAsia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ind w:left="0" w:leftChars="0" w:right="0" w:rightChars="0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pStyle w:val="26"/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eastAsia="仿宋_GB2312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109220</wp:posOffset>
                </wp:positionV>
                <wp:extent cx="5594985" cy="0"/>
                <wp:effectExtent l="0" t="0" r="0" b="0"/>
                <wp:wrapNone/>
                <wp:docPr id="6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49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.8pt;margin-top:8.6pt;height:0pt;width:440.55pt;z-index:251662336;mso-width-relative:page;mso-height-relative:page;" filled="f" stroked="t" coordsize="21600,21600" o:gfxdata="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Qh+I7WAAAACAEAAA8AAAAAAAAAAQAgAAAAIgAAAGRy&#10;cy9kb3ducmV2LnhtbFBLAQIUABQAAAAIAIdO4kBS5g28zgEAAI0DAAAOAAAAAAAAAAEAIAAAACU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594"/>
        </w:tabs>
        <w:spacing w:line="360" w:lineRule="auto"/>
        <w:ind w:firstLine="280" w:firstLineChars="1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300355</wp:posOffset>
                </wp:positionV>
                <wp:extent cx="5594985" cy="0"/>
                <wp:effectExtent l="0" t="0" r="0" b="0"/>
                <wp:wrapNone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49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-1.05pt;margin-top:23.65pt;height:0pt;width:440.55pt;z-index:251661312;mso-width-relative:page;mso-height-relative:page;" filled="f" stroked="t" coordsize="21600,21600" o:gfxdata="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deXh5dYAAAAIAQAADwAAAAAAAAABACAAAAAiAAAAZHJz&#10;L2Rvd25yZXYueG1sUEsBAhQAFAAAAAgAh07iQDfMrwjNAQAAjQMAAA4AAAAAAAAAAQAgAAAAJQ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color w:val="000000"/>
          <w:sz w:val="28"/>
          <w:szCs w:val="28"/>
          <w:lang w:val="zh-CN"/>
        </w:rPr>
        <w:t>抄</w:t>
      </w:r>
      <w:r>
        <w:rPr>
          <w:rFonts w:hint="eastAsia" w:eastAsia="仿宋_GB2312"/>
          <w:color w:val="000000"/>
          <w:sz w:val="28"/>
          <w:szCs w:val="28"/>
          <w:lang w:val="zh-CN"/>
        </w:rPr>
        <w:t>送</w:t>
      </w:r>
      <w:r>
        <w:rPr>
          <w:rFonts w:eastAsia="仿宋_GB2312"/>
          <w:color w:val="000000"/>
          <w:sz w:val="28"/>
          <w:szCs w:val="28"/>
          <w:lang w:val="zh-CN"/>
        </w:rPr>
        <w:t>：</w:t>
      </w:r>
      <w:r>
        <w:rPr>
          <w:rFonts w:hint="eastAsia" w:ascii="仿宋_GB2312" w:hAnsi="仿宋_GB2312" w:eastAsia="仿宋_GB2312" w:cs="仿宋_GB2312"/>
          <w:snapToGrid w:val="0"/>
          <w:color w:val="auto"/>
          <w:sz w:val="28"/>
          <w:szCs w:val="28"/>
          <w:lang w:val="en-US" w:eastAsia="zh-CN"/>
        </w:rPr>
        <w:t>县委办、县人大办、县政府办、县政协办、县纪委办。</w:t>
      </w:r>
    </w:p>
    <w:p>
      <w:pPr>
        <w:tabs>
          <w:tab w:val="left" w:pos="396"/>
          <w:tab w:val="left" w:pos="8613"/>
        </w:tabs>
        <w:spacing w:line="360" w:lineRule="auto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eastAsia="仿宋_GB2312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314960</wp:posOffset>
                </wp:positionV>
                <wp:extent cx="5594985" cy="0"/>
                <wp:effectExtent l="0" t="0" r="0" b="0"/>
                <wp:wrapNone/>
                <wp:docPr id="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49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-1.5pt;margin-top:24.8pt;height:0pt;width:440.55pt;z-index:251660288;mso-width-relative:page;mso-height-relative:page;" filled="f" stroked="t" coordsize="21600,21600" o:gfxdata="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aKUOHXAAAACAEAAA8AAAAAAAAAAQAgAAAAIgAAAGRy&#10;cy9kb3ducmV2LnhtbFBLAQIUABQAAAAIAIdO4kDGWDTpzQEAAI0DAAAOAAAAAAAAAAEAIAAAACY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  </w:t>
      </w:r>
      <w:r>
        <w:rPr>
          <w:rFonts w:eastAsia="仿宋_GB2312"/>
          <w:color w:val="000000"/>
          <w:sz w:val="28"/>
          <w:szCs w:val="28"/>
          <w:lang w:val="zh-CN"/>
        </w:rPr>
        <w:t>宜良县财政局办公室</w:t>
      </w:r>
      <w:r>
        <w:rPr>
          <w:rFonts w:hint="eastAsia" w:eastAsia="仿宋_GB2312"/>
          <w:color w:val="000000"/>
          <w:sz w:val="28"/>
          <w:szCs w:val="28"/>
          <w:lang w:val="zh-CN"/>
        </w:rPr>
        <w:t xml:space="preserve">              </w:t>
      </w:r>
      <w:r>
        <w:rPr>
          <w:rFonts w:eastAsia="仿宋_GB2312"/>
          <w:color w:val="000000"/>
          <w:sz w:val="28"/>
          <w:szCs w:val="28"/>
          <w:lang w:val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zh-CN"/>
        </w:rPr>
        <w:t xml:space="preserve">    202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zh-CN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zh-CN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zh-CN"/>
        </w:rPr>
        <w:t>日印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710BC"/>
    <w:multiLevelType w:val="singleLevel"/>
    <w:tmpl w:val="793710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8474789"/>
    <w:rsid w:val="09985F9B"/>
    <w:rsid w:val="0AB7401B"/>
    <w:rsid w:val="0D347814"/>
    <w:rsid w:val="0E3F2B2F"/>
    <w:rsid w:val="0E465275"/>
    <w:rsid w:val="155814EB"/>
    <w:rsid w:val="193B7B10"/>
    <w:rsid w:val="19D654F0"/>
    <w:rsid w:val="1B3712F0"/>
    <w:rsid w:val="1C640530"/>
    <w:rsid w:val="1F716C05"/>
    <w:rsid w:val="2115590C"/>
    <w:rsid w:val="22055DD1"/>
    <w:rsid w:val="238D5616"/>
    <w:rsid w:val="26A57286"/>
    <w:rsid w:val="2B7E263C"/>
    <w:rsid w:val="2CC80770"/>
    <w:rsid w:val="2E5127A3"/>
    <w:rsid w:val="2EF05266"/>
    <w:rsid w:val="30E82BBB"/>
    <w:rsid w:val="338E17D0"/>
    <w:rsid w:val="37BB097F"/>
    <w:rsid w:val="39F363AE"/>
    <w:rsid w:val="39FC1C9D"/>
    <w:rsid w:val="3C7D6481"/>
    <w:rsid w:val="3CCE218D"/>
    <w:rsid w:val="3FAE2E69"/>
    <w:rsid w:val="3FC279D5"/>
    <w:rsid w:val="3FF00BA4"/>
    <w:rsid w:val="43565510"/>
    <w:rsid w:val="44122B39"/>
    <w:rsid w:val="46F307AD"/>
    <w:rsid w:val="51160F4B"/>
    <w:rsid w:val="52187EE3"/>
    <w:rsid w:val="529934B9"/>
    <w:rsid w:val="55470A4D"/>
    <w:rsid w:val="5673261D"/>
    <w:rsid w:val="56A01CAF"/>
    <w:rsid w:val="61F112FD"/>
    <w:rsid w:val="64330A54"/>
    <w:rsid w:val="668D0B3B"/>
    <w:rsid w:val="6D232542"/>
    <w:rsid w:val="78E26CD4"/>
    <w:rsid w:val="7DE52B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5">
    <w:name w:val="Normal Indent"/>
    <w:basedOn w:val="1"/>
    <w:next w:val="1"/>
    <w:qFormat/>
    <w:uiPriority w:val="0"/>
    <w:pPr>
      <w:jc w:val="left"/>
    </w:pPr>
    <w:rPr>
      <w:szCs w:val="20"/>
    </w:rPr>
  </w:style>
  <w:style w:type="paragraph" w:styleId="6">
    <w:name w:val="annotation text"/>
    <w:basedOn w:val="1"/>
    <w:uiPriority w:val="0"/>
    <w:pPr>
      <w:jc w:val="left"/>
    </w:pPr>
  </w:style>
  <w:style w:type="paragraph" w:styleId="7">
    <w:name w:val="Body Text"/>
    <w:basedOn w:val="1"/>
    <w:unhideWhenUsed/>
    <w:qFormat/>
    <w:uiPriority w:val="99"/>
  </w:style>
  <w:style w:type="paragraph" w:styleId="8">
    <w:name w:val="Body Text Indent"/>
    <w:basedOn w:val="1"/>
    <w:qFormat/>
    <w:uiPriority w:val="0"/>
    <w:pPr>
      <w:ind w:firstLine="660"/>
    </w:pPr>
    <w:rPr>
      <w:rFonts w:ascii="宋体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itle"/>
    <w:basedOn w:val="1"/>
    <w:qFormat/>
    <w:uiPriority w:val="0"/>
    <w:rPr>
      <w:rFonts w:ascii="Arial" w:hAnsi="Arial"/>
      <w:sz w:val="32"/>
    </w:rPr>
  </w:style>
  <w:style w:type="paragraph" w:styleId="12">
    <w:name w:val="Body Text First Indent 2"/>
    <w:basedOn w:val="8"/>
    <w:qFormat/>
    <w:uiPriority w:val="0"/>
    <w:pPr>
      <w:spacing w:after="120"/>
      <w:ind w:firstLine="872"/>
    </w:pPr>
    <w:rPr>
      <w:rFonts w:ascii="Times New Roma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6">
    <w:name w:val="page number"/>
    <w:basedOn w:val="15"/>
    <w:uiPriority w:val="0"/>
  </w:style>
  <w:style w:type="paragraph" w:customStyle="1" w:styleId="17">
    <w:name w:val="无间隔1"/>
    <w:basedOn w:val="1"/>
    <w:semiHidden/>
    <w:qFormat/>
    <w:uiPriority w:val="0"/>
    <w:rPr>
      <w:szCs w:val="21"/>
    </w:rPr>
  </w:style>
  <w:style w:type="table" w:customStyle="1" w:styleId="1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font141"/>
    <w:basedOn w:val="15"/>
    <w:qFormat/>
    <w:uiPriority w:val="0"/>
    <w:rPr>
      <w:rFonts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20">
    <w:name w:val="font101"/>
    <w:basedOn w:val="1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21">
    <w:name w:val="font151"/>
    <w:basedOn w:val="15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22">
    <w:name w:val="font31"/>
    <w:basedOn w:val="15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23">
    <w:name w:val="font01"/>
    <w:basedOn w:val="15"/>
    <w:qFormat/>
    <w:uiPriority w:val="0"/>
    <w:rPr>
      <w:rFonts w:hint="eastAsia" w:ascii="仿宋_GB2312" w:eastAsia="仿宋_GB2312" w:cs="仿宋_GB2312"/>
      <w:b/>
      <w:color w:val="FF0000"/>
      <w:sz w:val="24"/>
      <w:szCs w:val="24"/>
      <w:u w:val="none"/>
    </w:rPr>
  </w:style>
  <w:style w:type="character" w:customStyle="1" w:styleId="24">
    <w:name w:val="font121"/>
    <w:basedOn w:val="15"/>
    <w:qFormat/>
    <w:uiPriority w:val="0"/>
    <w:rPr>
      <w:rFonts w:hint="eastAsia" w:ascii="仿宋_GB2312" w:eastAsia="仿宋_GB2312" w:cs="仿宋_GB2312"/>
      <w:b/>
      <w:color w:val="FF0000"/>
      <w:sz w:val="24"/>
      <w:szCs w:val="24"/>
      <w:u w:val="none"/>
    </w:rPr>
  </w:style>
  <w:style w:type="character" w:customStyle="1" w:styleId="25">
    <w:name w:val="font21"/>
    <w:basedOn w:val="1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6">
    <w:name w:val="实施方案正文"/>
    <w:basedOn w:val="1"/>
    <w:qFormat/>
    <w:uiPriority w:val="0"/>
    <w:pPr>
      <w:ind w:firstLine="566" w:firstLineChars="202"/>
    </w:pPr>
    <w:rPr>
      <w:rFonts w:ascii="Calibri" w:hAnsi="Calibri" w:eastAsia="宋体"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2022-02-18T09:29:00Z</dcterms:created>
  <dc:creator>admin</dc:creator>
  <cp:lastModifiedBy>admin</cp:lastModifiedBy>
  <cp:lastPrinted>2022-05-13T03:10:33Z</cp:lastPrinted>
  <dcterms:modified xsi:type="dcterms:W3CDTF">2022-05-13T03:10:36Z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2022-02-18T17:26:12Z</vt:filetime>
  </property>
  <property fmtid="{D5CDD505-2E9C-101B-9397-08002B2CF9AE}" pid="4" name="KSOProductBuildVer">
    <vt:lpwstr>2052-11.8.6.8722</vt:lpwstr>
  </property>
</Properties>
</file>